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040"/>
        <w:gridCol w:w="5040"/>
      </w:tblGrid>
      <w:tr>
        <w:trPr>
          <w:cantSplit/>
        </w:trPr>
        <w:tc>
          <w:tcPr>
            <w:tcW w:type="dxa" w:w="5040"/>
            <w:tcMar>
              <w:top w:type="dxa" w:w="0"/>
              <w:left w:type="dxa" w:w="0"/>
              <w:bottom w:type="dxa" w:w="0"/>
              <w:right w:type="dxa" w:w="140"/>
            </w:tcMar>
            <w:vAlign w:val="center"/>
          </w:tcPr>
          <w:p>
            <w:pPr>
              <w:spacing w:after="0" w:before="0"/>
            </w:pPr>
            <w:r>
              <w:drawing>
                <wp:inline distT="0" distB="0" distL="0" distR="0">
                  <wp:extent cx="1733550" cy="733425"/>
                  <wp:effectExtent t="0" r="0" b="0" l="0"/>
                  <wp:docPr id="2" name="CCO logo" descr="Client Care Operations logo" title="Client Care Oper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40"/>
            <w:tcMar>
              <w:top w:type="dxa" w:w="60"/>
              <w:left w:type="dxa" w:w="14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30" w:before="0" w:line="264" w:lineRule="auto"/>
              <w:jc w:val="right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85651C"/>
                <w:spacing w:val="24"/>
                <w:sz w:val="15"/>
                <w:szCs w:val="15"/>
              </w:rPr>
              <w:t xml:space="preserve">Practical Tools &amp; Checklists</w:t>
            </w:r>
          </w:p>
          <w:p>
            <w:pPr>
              <w:keepLines/>
              <w:spacing w:after="30" w:before="0" w:line="264" w:lineRule="auto"/>
              <w:jc w:val="right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13294B"/>
                <w:spacing w:val="24"/>
                <w:sz w:val="15"/>
                <w:szCs w:val="15"/>
              </w:rPr>
              <w:t xml:space="preserve">Assessment 02</w:t>
            </w:r>
          </w:p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Version 2.1 · October 2026</w:t>
            </w:r>
          </w:p>
        </w:tc>
      </w:tr>
    </w:tbl>
    <w:p>
      <w:pPr>
        <w:keepLines/>
        <w:spacing w:after="1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tcBorders>
              <w:top w:val="single" w:color="C8A14A" w:sz="18"/>
              <w:left w:val="none" w:color="FFFFFF" w:sz="0"/>
              <w:bottom w:val="none" w:color="FFFFFF" w:sz="0"/>
              <w:right w:val="none" w:color="FFFFFF" w:sz="0"/>
            </w:tcBorders>
            <w:shd w:fill="0A1628" w:color="auto" w:val="clear"/>
            <w:tcMar>
              <w:top w:type="dxa" w:w="320"/>
              <w:left w:type="dxa" w:w="360"/>
              <w:bottom w:type="dxa" w:w="220"/>
              <w:right w:type="dxa" w:w="360"/>
            </w:tcMar>
            <w:vAlign w:val="top"/>
          </w:tcPr>
          <w:p>
            <w:pPr>
              <w:keepLines/>
              <w:spacing w:after="20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E2C788"/>
                <w:spacing w:val="24"/>
                <w:sz w:val="15"/>
                <w:szCs w:val="15"/>
              </w:rPr>
              <w:t xml:space="preserve">Assessment 02 · Client Care Operations</w:t>
            </w:r>
          </w:p>
          <w:p>
            <w:pPr>
              <w:pStyle w:val="Title"/>
              <w:keepLines/>
              <w:spacing w:after="200" w:before="0" w:line="228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FFFFFF"/>
                <w:sz w:val="72"/>
                <w:szCs w:val="72"/>
              </w:rPr>
              <w:t xml:space="preserve">Automation Opportunity Matrix</w:t>
            </w:r>
          </w:p>
          <w:p>
            <w:pPr>
              <w:keepLines/>
              <w:spacing w:after="160" w:before="0" w:line="29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C9D2DF"/>
                <w:sz w:val="22"/>
                <w:szCs w:val="22"/>
              </w:rPr>
              <w:t xml:space="preserve">Identify, compare and prioritize processes without mistaking a high score for permission to automate.</w:t>
            </w:r>
          </w:p>
          <w:p>
            <w:pPr>
              <w:keepLines/>
              <w:spacing w:after="8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C8A14A"/>
                <w:sz w:val="18"/>
                <w:szCs w:val="18"/>
              </w:rPr>
              <w:t xml:space="preserve">━━━</w:t>
            </w:r>
          </w:p>
          <w:p>
            <w:pPr>
              <w:keepLines/>
              <w:spacing w:after="380" w:before="0" w:line="29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A7B2C3"/>
                <w:sz w:val="16"/>
                <w:szCs w:val="16"/>
              </w:rPr>
              <w:t xml:space="preserve">Prepared as an educational planning tool. It is not a certification, a legal opinion, or an assessment of a particular organization.</w:t>
            </w:r>
          </w:p>
          <w:tbl>
            <w:tblPr>
              <w:tblW w:type="dxa" w:w="936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3120"/>
              <w:gridCol w:w="3120"/>
              <w:gridCol w:w="3120"/>
            </w:tblGrid>
            <w:tr>
              <w:trPr>
                <w:cantSplit/>
              </w:trPr>
              <w:tc>
                <w:tcPr>
                  <w:tcW w:type="dxa" w:w="3120"/>
                  <w:tcBorders>
                    <w:top w:val="single" w:color="2A3A57" w:sz="6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6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Scoring criteria</w:t>
                  </w:r>
                </w:p>
              </w:tc>
              <w:tc>
                <w:tcPr>
                  <w:tcW w:type="dxa" w:w="3120"/>
                  <w:tcBorders>
                    <w:top w:val="single" w:color="2A3A57" w:sz="6"/>
                    <w:left w:val="single" w:color="2A3A57" w:sz="6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20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−6 to 27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Weighted score range</w:t>
                  </w:r>
                </w:p>
              </w:tc>
              <w:tc>
                <w:tcPr>
                  <w:tcW w:type="dxa" w:w="3120"/>
                  <w:tcBorders>
                    <w:top w:val="single" w:color="2A3A57" w:sz="6"/>
                    <w:left w:val="single" w:color="2A3A57" w:sz="6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20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3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Screening labels</w:t>
                  </w:r>
                </w:p>
              </w:tc>
            </w:tr>
          </w:tbl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8"/>
                <w:szCs w:val="8"/>
              </w:rPr>
              <w:t xml:space="preserve"/>
            </w:r>
          </w:p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34"/>
          <w:szCs w:val="34"/>
        </w:rPr>
        <w:t xml:space="preserve">Purpose and method</w:t>
      </w:r>
    </w:p>
    <w:p>
      <w:pPr>
        <w:keepLines/>
        <w:spacing w:after="160" w:before="0" w:line="288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9"/>
          <w:szCs w:val="19"/>
        </w:rPr>
        <w:t xml:space="preserve">List recurring workflows, establish the baseline, and score each on a 0–3 scale. The matching Excel workbook calculates weighted priorities automatically. The result supports discussion; it does not replace privacy, legal, accessibility, safety, or security review.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040"/>
        <w:gridCol w:w="5040"/>
      </w:tblGrid>
      <w:tr>
        <w:trPr>
          <w:cantSplit/>
        </w:trPr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1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Inventory recurring workflows and their baseline (Section 01).</w:t>
            </w:r>
          </w:p>
        </w:tc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2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Score each candidate against the six criteria (Section 02).</w:t>
            </w:r>
          </w:p>
        </w:tc>
      </w:tr>
      <w:tr>
        <w:trPr>
          <w:cantSplit/>
        </w:trPr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3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Calculate the weighted opportunity score (Section 03), or use the companion Excel workbook.</w:t>
            </w:r>
          </w:p>
        </w:tc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4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Compare candidates, measure, apply the guardrails and record the next decision (Sections 04–07).</w:t>
            </w:r>
          </w:p>
        </w:tc>
      </w:tr>
    </w:tbl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160"/>
              <w:left w:type="dxa" w:w="200"/>
              <w:bottom w:type="dxa" w:w="100"/>
              <w:right w:type="dxa" w:w="200"/>
            </w:tcMar>
            <w:vAlign w:val="top"/>
          </w:tcPr>
          <w:p>
            <w:pPr>
              <w:keepLines/>
              <w:spacing w:after="10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85651C"/>
                <w:spacing w:val="24"/>
                <w:sz w:val="15"/>
                <w:szCs w:val="15"/>
              </w:rPr>
              <w:t xml:space="preserve">Assessment record</w:t>
            </w:r>
          </w:p>
          <w:tbl>
            <w:tblPr>
              <w:tblW w:type="dxa" w:w="96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4066"/>
              <w:gridCol w:w="3291"/>
              <w:gridCol w:w="2323"/>
            </w:tblGrid>
            <w:tr>
              <w:trPr>
                <w:cantSplit/>
              </w:trPr>
              <w:tc>
                <w:tcPr>
                  <w:tcW w:type="dxa" w:w="4066"/>
                  <w:shd w:fill="F7F5F0" w:color="auto" w:val="clear"/>
                  <w:tcMar>
                    <w:top w:type="dxa" w:w="40"/>
                    <w:left w:type="dxa" w:w="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Team / function</w:t>
                  </w:r>
                </w:p>
              </w:tc>
              <w:tc>
                <w:tcPr>
                  <w:tcW w:type="dxa" w:w="3291"/>
                  <w:shd w:fill="F7F5F0" w:color="auto" w:val="clear"/>
                  <w:tcMar>
                    <w:top w:type="dxa" w:w="40"/>
                    <w:left w:type="dxa" w:w="12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Prepared by</w:t>
                  </w:r>
                </w:p>
              </w:tc>
              <w:tc>
                <w:tcPr>
                  <w:tcW w:type="dxa" w:w="2323"/>
                  <w:shd w:fill="F7F5F0" w:color="auto" w:val="clear"/>
                  <w:tcMar>
                    <w:top w:type="dxa" w:w="40"/>
                    <w:left w:type="dxa" w:w="12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Date</w:t>
                  </w:r>
                </w:p>
              </w:tc>
            </w:tr>
            <w:tr>
              <w:trPr>
                <w:cantSplit/>
                <w:trHeight w:val="400" w:hRule="atLeast"/>
              </w:trPr>
              <w:tc>
                <w:tcPr>
                  <w:tcW w:type="dxa" w:w="4066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  <w:tc>
                <w:tcPr>
                  <w:tcW w:type="dxa" w:w="3291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  <w:tc>
                <w:tcPr>
                  <w:tcW w:type="dxa" w:w="2323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6"/>
                <w:szCs w:val="6"/>
              </w:rPr>
              <w:t xml:space="preserve"/>
            </w:r>
          </w:p>
        </w:tc>
      </w:tr>
    </w:tbl>
    <w:p>
      <w:pPr>
        <w:keepLines/>
        <w:spacing w:after="0" w:before="16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3294B"/>
          <w:sz w:val="16"/>
          <w:szCs w:val="16"/>
        </w:rPr>
        <w:t xml:space="preserve">Companion workbook: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CCO_Automation_Opportunity_Matrix_V2.1.xlsx calculates the weighted score and screening label automatically.</w:t>
      </w:r>
    </w:p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01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Process inventory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List recurring workflows and establish the baseline for each.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226"/>
        <w:gridCol w:w="1613"/>
        <w:gridCol w:w="1714"/>
        <w:gridCol w:w="3527"/>
      </w:tblGrid>
      <w:tr>
        <w:trPr>
          <w:cantSplit/>
          <w:tblHeader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Workflow / owner</w:t>
            </w:r>
          </w:p>
        </w:tc>
        <w:tc>
          <w:tcPr>
            <w:tcW w:type="dxa" w:w="1613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Cases / month</w:t>
            </w:r>
          </w:p>
        </w:tc>
        <w:tc>
          <w:tcPr>
            <w:tcW w:type="dxa" w:w="171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Manual minutes / case</w:t>
            </w:r>
          </w:p>
        </w:tc>
        <w:tc>
          <w:tcPr>
            <w:tcW w:type="dxa" w:w="352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Main exception / risk</w:t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450" w:hRule="atLeast"/>
        </w:trPr>
        <w:tc>
          <w:tcPr>
            <w:tcW w:type="dxa" w:w="3226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613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40" w:before="24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02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How to score an opportunity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Score each candidate on a 0–3 scale for each criterion. The weight shows how each criterion enters the weighted score in Section 03.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2200"/>
        <w:gridCol w:w="1100"/>
        <w:gridCol w:w="1680"/>
        <w:gridCol w:w="1680"/>
        <w:gridCol w:w="1680"/>
        <w:gridCol w:w="1740"/>
      </w:tblGrid>
      <w:tr>
        <w:trPr>
          <w:cantSplit/>
          <w:tblHeader/>
        </w:trPr>
        <w:tc>
          <w:tcPr>
            <w:tcW w:type="dxa" w:w="2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40"/>
              <w:bottom w:type="dxa" w:w="7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24"/>
                <w:sz w:val="15"/>
                <w:szCs w:val="15"/>
              </w:rPr>
              <w:t xml:space="preserve">Criterion</w:t>
            </w:r>
          </w:p>
        </w:tc>
        <w:tc>
          <w:tcPr>
            <w:tcW w:type="dxa" w:w="110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40"/>
              <w:bottom w:type="dxa" w:w="7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24"/>
                <w:sz w:val="15"/>
                <w:szCs w:val="15"/>
              </w:rPr>
              <w:t xml:space="preserve">Weight</w:t>
            </w:r>
          </w:p>
        </w:tc>
        <w:tc>
          <w:tcPr>
            <w:tcW w:type="dxa" w:w="168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40"/>
              <w:bottom w:type="dxa" w:w="7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24"/>
                <w:sz w:val="15"/>
                <w:szCs w:val="15"/>
              </w:rPr>
              <w:t xml:space="preserve">0</w:t>
            </w:r>
          </w:p>
        </w:tc>
        <w:tc>
          <w:tcPr>
            <w:tcW w:type="dxa" w:w="168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40"/>
              <w:bottom w:type="dxa" w:w="7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24"/>
                <w:sz w:val="15"/>
                <w:szCs w:val="15"/>
              </w:rPr>
              <w:t xml:space="preserve">1</w:t>
            </w:r>
          </w:p>
        </w:tc>
        <w:tc>
          <w:tcPr>
            <w:tcW w:type="dxa" w:w="168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40"/>
              <w:bottom w:type="dxa" w:w="7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24"/>
                <w:sz w:val="15"/>
                <w:szCs w:val="15"/>
              </w:rPr>
              <w:t xml:space="preserve">2</w:t>
            </w:r>
          </w:p>
        </w:tc>
        <w:tc>
          <w:tcPr>
            <w:tcW w:type="dxa" w:w="174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40"/>
              <w:bottom w:type="dxa" w:w="7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24"/>
                <w:sz w:val="15"/>
                <w:szCs w:val="15"/>
              </w:rPr>
              <w:t xml:space="preserve">3</w:t>
            </w:r>
          </w:p>
        </w:tc>
      </w:tr>
      <w:tr>
        <w:trPr>
          <w:cantSplit/>
          <w:trHeight w:val="560" w:hRule="atLeast"/>
        </w:trPr>
        <w:tc>
          <w:tcPr>
            <w:tcW w:type="dxa" w:w="220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3"/>
                <w:szCs w:val="23"/>
              </w:rPr>
              <w:t xml:space="preserve">Frequency</w:t>
            </w:r>
          </w:p>
        </w:tc>
        <w:tc>
          <w:tcPr>
            <w:tcW w:type="dxa" w:w="110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×2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rare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occasional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frequent</w:t>
            </w:r>
          </w:p>
        </w:tc>
        <w:tc>
          <w:tcPr>
            <w:tcW w:type="dxa" w:w="174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high volume</w:t>
            </w:r>
          </w:p>
        </w:tc>
      </w:tr>
      <w:tr>
        <w:trPr>
          <w:cantSplit/>
          <w:trHeight w:val="560" w:hRule="atLeast"/>
        </w:trPr>
        <w:tc>
          <w:tcPr>
            <w:tcW w:type="dxa" w:w="220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3"/>
                <w:szCs w:val="23"/>
              </w:rPr>
              <w:t xml:space="preserve">Rule clarity</w:t>
            </w:r>
          </w:p>
        </w:tc>
        <w:tc>
          <w:tcPr>
            <w:tcW w:type="dxa" w:w="110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×2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highly variable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some patterns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mostly repeatable</w:t>
            </w:r>
          </w:p>
        </w:tc>
        <w:tc>
          <w:tcPr>
            <w:tcW w:type="dxa" w:w="174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explicit, documented rules</w:t>
            </w:r>
          </w:p>
        </w:tc>
      </w:tr>
      <w:tr>
        <w:trPr>
          <w:cantSplit/>
          <w:trHeight w:val="560" w:hRule="atLeast"/>
        </w:trPr>
        <w:tc>
          <w:tcPr>
            <w:tcW w:type="dxa" w:w="220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3"/>
                <w:szCs w:val="23"/>
              </w:rPr>
              <w:t xml:space="preserve">Integration feasibility</w:t>
            </w:r>
          </w:p>
        </w:tc>
        <w:tc>
          <w:tcPr>
            <w:tcW w:type="dxa" w:w="110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×2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blocked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uncertain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technically workable</w:t>
            </w:r>
          </w:p>
        </w:tc>
        <w:tc>
          <w:tcPr>
            <w:tcW w:type="dxa" w:w="174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supported, tested interfaces</w:t>
            </w:r>
          </w:p>
        </w:tc>
      </w:tr>
      <w:tr>
        <w:trPr>
          <w:cantSplit/>
          <w:trHeight w:val="560" w:hRule="atLeast"/>
        </w:trPr>
        <w:tc>
          <w:tcPr>
            <w:tcW w:type="dxa" w:w="220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3"/>
                <w:szCs w:val="23"/>
              </w:rPr>
              <w:t xml:space="preserve">Data quality</w:t>
            </w:r>
          </w:p>
        </w:tc>
        <w:tc>
          <w:tcPr>
            <w:tcW w:type="dxa" w:w="110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×2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unreliable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mixed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usable</w:t>
            </w:r>
          </w:p>
        </w:tc>
        <w:tc>
          <w:tcPr>
            <w:tcW w:type="dxa" w:w="174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consistently reliable</w:t>
            </w:r>
          </w:p>
        </w:tc>
      </w:tr>
      <w:tr>
        <w:trPr>
          <w:cantSplit/>
          <w:trHeight w:val="560" w:hRule="atLeast"/>
        </w:trPr>
        <w:tc>
          <w:tcPr>
            <w:tcW w:type="dxa" w:w="220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3"/>
                <w:szCs w:val="23"/>
              </w:rPr>
              <w:t xml:space="preserve">Owner readiness</w:t>
            </w:r>
          </w:p>
        </w:tc>
        <w:tc>
          <w:tcPr>
            <w:tcW w:type="dxa" w:w="110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×1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no owner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provisional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designated</w:t>
            </w:r>
          </w:p>
        </w:tc>
        <w:tc>
          <w:tcPr>
            <w:tcW w:type="dxa" w:w="174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engaged and prepared</w:t>
            </w:r>
          </w:p>
        </w:tc>
      </w:tr>
      <w:tr>
        <w:trPr>
          <w:cantSplit/>
          <w:trHeight w:val="560" w:hRule="atLeast"/>
        </w:trPr>
        <w:tc>
          <w:tcPr>
            <w:tcW w:type="dxa" w:w="220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shd w:fill="FBF7EE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3"/>
                <w:szCs w:val="23"/>
              </w:rPr>
              <w:t xml:space="preserve">Risk exposure</w:t>
            </w:r>
          </w:p>
        </w:tc>
        <w:tc>
          <w:tcPr>
            <w:tcW w:type="dxa" w:w="110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1E7CC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85651C"/>
                <w:sz w:val="18"/>
                <w:szCs w:val="18"/>
              </w:rPr>
              <w:t xml:space="preserve">−2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BF7EE" w:color="auto" w:val="clear"/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low consequence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BF7EE" w:color="auto" w:val="clear"/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manageable</w:t>
            </w:r>
          </w:p>
        </w:tc>
        <w:tc>
          <w:tcPr>
            <w:tcW w:type="dxa" w:w="16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BF7EE" w:color="auto" w:val="clear"/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sensitive</w:t>
            </w:r>
          </w:p>
        </w:tc>
        <w:tc>
          <w:tcPr>
            <w:tcW w:type="dxa" w:w="174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shd w:fill="FBF7EE" w:color="auto" w:val="clear"/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keepLines/>
              <w:spacing w:after="0" w:before="0" w:line="252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consequential or high-risk</w:t>
            </w:r>
          </w:p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03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Weighted opportunity score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shd w:fill="0A1628" w:color="auto" w:val="clear"/>
            <w:tcMar>
              <w:top w:type="dxa" w:w="220"/>
              <w:left w:type="dxa" w:w="300"/>
              <w:bottom w:type="dxa" w:w="220"/>
              <w:right w:type="dxa" w:w="300"/>
            </w:tcMar>
            <w:vAlign w:val="center"/>
          </w:tcPr>
          <w:p>
            <w:pPr>
              <w:keepLines/>
              <w:spacing w:after="8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E2C788"/>
                <w:spacing w:val="24"/>
                <w:sz w:val="15"/>
                <w:szCs w:val="15"/>
              </w:rPr>
              <w:t xml:space="preserve">WEIGHTED FORMULA</w:t>
            </w:r>
          </w:p>
          <w:p>
            <w:pPr>
              <w:keepLines/>
              <w:spacing w:after="0" w:before="0" w:line="300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E2C788"/>
                <w:sz w:val="21"/>
                <w:szCs w:val="21"/>
              </w:rPr>
              <w:t xml:space="preserve">Score =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FFFFFF"/>
                <w:sz w:val="21"/>
                <w:szCs w:val="21"/>
              </w:rPr>
              <w:t xml:space="preserve">2×Frequency + 2×Rule clarity + 2×Integration feasibility + 2×Data quality + Owner readiness − 2×Risk exposure.</w:t>
            </w:r>
          </w:p>
        </w:tc>
      </w:tr>
    </w:tbl>
    <w:p>
      <w:pPr>
        <w:keepLines/>
        <w:spacing w:after="22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80" w:before="6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/>
          <w:color w:val="85651C"/>
          <w:spacing w:val="24"/>
          <w:sz w:val="15"/>
          <w:szCs w:val="15"/>
        </w:rPr>
        <w:t xml:space="preserve">Screening labels for planning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744"/>
        <w:gridCol w:w="2372"/>
        <w:gridCol w:w="2964"/>
      </w:tblGrid>
      <w:tr>
        <w:trPr>
          <w:cantSplit/>
        </w:trPr>
        <w:tc>
          <w:tcPr>
            <w:tcW w:type="dxa" w:w="474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6EBF2" w:color="auto" w:val="clear"/>
            <w:tcMar>
              <w:top w:type="dxa" w:w="110"/>
              <w:left w:type="dxa" w:w="180"/>
              <w:bottom w:type="dxa" w:w="110"/>
              <w:right w:type="dxa" w:w="140"/>
            </w:tcMar>
            <w:vAlign w:val="center"/>
          </w:tcPr>
          <w:p>
            <w:pPr>
              <w:keepLines/>
              <w:spacing w:after="3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6"/>
                <w:szCs w:val="26"/>
              </w:rPr>
              <w:t xml:space="preserve">Below 10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Redesign / defer</w:t>
            </w:r>
          </w:p>
        </w:tc>
        <w:tc>
          <w:tcPr>
            <w:tcW w:type="dxa" w:w="2372"/>
            <w:tcBorders>
              <w:top w:val="none" w:color="FFFFFF" w:sz="0"/>
              <w:left w:val="single" w:color="FFFFFF" w:sz="16"/>
              <w:bottom w:val="none" w:color="FFFFFF" w:sz="0"/>
              <w:right w:val="none" w:color="FFFFFF" w:sz="0"/>
            </w:tcBorders>
            <w:shd w:fill="F1E7CC" w:color="auto" w:val="clear"/>
            <w:tcMar>
              <w:top w:type="dxa" w:w="110"/>
              <w:left w:type="dxa" w:w="180"/>
              <w:bottom w:type="dxa" w:w="110"/>
              <w:right w:type="dxa" w:w="140"/>
            </w:tcMar>
            <w:vAlign w:val="center"/>
          </w:tcPr>
          <w:p>
            <w:pPr>
              <w:keepLines/>
              <w:spacing w:after="3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6"/>
                <w:szCs w:val="26"/>
              </w:rPr>
              <w:t xml:space="preserve">10–17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11C2E"/>
                <w:sz w:val="17"/>
                <w:szCs w:val="17"/>
              </w:rPr>
              <w:t xml:space="preserve">Prepare first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6"/>
                <w:szCs w:val="16"/>
              </w:rPr>
              <w:t xml:space="preserve">Define prerequisites</w:t>
            </w:r>
          </w:p>
        </w:tc>
        <w:tc>
          <w:tcPr>
            <w:tcW w:type="dxa" w:w="2964"/>
            <w:tcBorders>
              <w:top w:val="none" w:color="FFFFFF" w:sz="0"/>
              <w:left w:val="single" w:color="FFFFFF" w:sz="16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110"/>
              <w:left w:type="dxa" w:w="180"/>
              <w:bottom w:type="dxa" w:w="110"/>
              <w:right w:type="dxa" w:w="140"/>
            </w:tcMar>
            <w:vAlign w:val="center"/>
          </w:tcPr>
          <w:p>
            <w:pPr>
              <w:keepLines/>
              <w:spacing w:after="30" w:before="0" w:line="240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FFFFFF"/>
                <w:sz w:val="26"/>
                <w:szCs w:val="26"/>
              </w:rPr>
              <w:t xml:space="preserve">18 or more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E2C788"/>
                <w:sz w:val="17"/>
                <w:szCs w:val="17"/>
              </w:rPr>
              <w:t xml:space="preserve">Pilot candidate</w:t>
            </w:r>
          </w:p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D5DCE6"/>
                <w:sz w:val="16"/>
                <w:szCs w:val="16"/>
              </w:rPr>
              <w:t xml:space="preserve">Investigate a pilot</w:t>
            </w:r>
          </w:p>
        </w:tc>
      </w:tr>
    </w:tbl>
    <w:p>
      <w:pPr>
        <w:keepLines/>
        <w:spacing w:after="220" w:before="10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Possible range: −6 to 27. Screening labels for planning: 18 or more = Pilot candidate (investigate a pilot); 10–17 = Prepare first (define prerequisites); below 10 = Redesign / defer. These thresholds are illustrative and should never override hard constraints.</w:t>
      </w:r>
    </w:p>
    <w:p>
      <w:pPr>
        <w:keepNext/>
        <w:keepLines/>
        <w:spacing w:after="40" w:before="24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04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Process comparison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Enter the 0–3 score for each criterion, then calculate the weighted score.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714"/>
        <w:gridCol w:w="837"/>
        <w:gridCol w:w="837"/>
        <w:gridCol w:w="837"/>
        <w:gridCol w:w="837"/>
        <w:gridCol w:w="837"/>
        <w:gridCol w:w="837"/>
        <w:gridCol w:w="1210"/>
        <w:gridCol w:w="2134"/>
      </w:tblGrid>
      <w:tr>
        <w:trPr>
          <w:cantSplit/>
          <w:tblHeader/>
        </w:trPr>
        <w:tc>
          <w:tcPr>
            <w:tcW w:type="dxa" w:w="17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Candidate</w:t>
            </w:r>
          </w:p>
        </w:tc>
        <w:tc>
          <w:tcPr>
            <w:tcW w:type="dxa" w:w="83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40"/>
              <w:bottom w:type="dxa" w:w="70"/>
              <w:right w:type="dxa" w:w="4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Freq.</w:t>
            </w:r>
          </w:p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2C788"/>
                <w:sz w:val="16"/>
                <w:szCs w:val="16"/>
              </w:rPr>
              <w:t xml:space="preserve">×2</w:t>
            </w:r>
          </w:p>
        </w:tc>
        <w:tc>
          <w:tcPr>
            <w:tcW w:type="dxa" w:w="83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40"/>
              <w:bottom w:type="dxa" w:w="70"/>
              <w:right w:type="dxa" w:w="4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Rules</w:t>
            </w:r>
          </w:p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2C788"/>
                <w:sz w:val="16"/>
                <w:szCs w:val="16"/>
              </w:rPr>
              <w:t xml:space="preserve">×2</w:t>
            </w:r>
          </w:p>
        </w:tc>
        <w:tc>
          <w:tcPr>
            <w:tcW w:type="dxa" w:w="83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40"/>
              <w:bottom w:type="dxa" w:w="70"/>
              <w:right w:type="dxa" w:w="4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Integ.</w:t>
            </w:r>
          </w:p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2C788"/>
                <w:sz w:val="16"/>
                <w:szCs w:val="16"/>
              </w:rPr>
              <w:t xml:space="preserve">×2</w:t>
            </w:r>
          </w:p>
        </w:tc>
        <w:tc>
          <w:tcPr>
            <w:tcW w:type="dxa" w:w="83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40"/>
              <w:bottom w:type="dxa" w:w="70"/>
              <w:right w:type="dxa" w:w="4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Data</w:t>
            </w:r>
          </w:p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2C788"/>
                <w:sz w:val="16"/>
                <w:szCs w:val="16"/>
              </w:rPr>
              <w:t xml:space="preserve">×2</w:t>
            </w:r>
          </w:p>
        </w:tc>
        <w:tc>
          <w:tcPr>
            <w:tcW w:type="dxa" w:w="83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40"/>
              <w:bottom w:type="dxa" w:w="70"/>
              <w:right w:type="dxa" w:w="4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Owner</w:t>
            </w:r>
          </w:p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2C788"/>
                <w:sz w:val="16"/>
                <w:szCs w:val="16"/>
              </w:rPr>
              <w:t xml:space="preserve">×1</w:t>
            </w:r>
          </w:p>
        </w:tc>
        <w:tc>
          <w:tcPr>
            <w:tcW w:type="dxa" w:w="83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40"/>
              <w:bottom w:type="dxa" w:w="70"/>
              <w:right w:type="dxa" w:w="4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Risk</w:t>
            </w:r>
          </w:p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2C788"/>
                <w:sz w:val="16"/>
                <w:szCs w:val="16"/>
              </w:rPr>
              <w:t xml:space="preserve">−2</w:t>
            </w:r>
          </w:p>
        </w:tc>
        <w:tc>
          <w:tcPr>
            <w:tcW w:type="dxa" w:w="121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Weighted score</w:t>
            </w:r>
          </w:p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E2C788"/>
                <w:sz w:val="16"/>
                <w:szCs w:val="16"/>
              </w:rPr>
              <w:t xml:space="preserve">−6 to 27</w:t>
            </w:r>
          </w:p>
        </w:tc>
        <w:tc>
          <w:tcPr>
            <w:tcW w:type="dxa" w:w="213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Screening label</w:t>
            </w:r>
          </w:p>
        </w:tc>
      </w:tr>
      <w:tr>
        <w:trPr>
          <w:cantSplit/>
          <w:trHeight w:val="780" w:hRule="atLeast"/>
        </w:trPr>
        <w:tc>
          <w:tcPr>
            <w:tcW w:type="dxa" w:w="1714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A: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2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13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780" w:hRule="atLeast"/>
        </w:trPr>
        <w:tc>
          <w:tcPr>
            <w:tcW w:type="dxa" w:w="1714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B: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2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13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780" w:hRule="atLeast"/>
        </w:trPr>
        <w:tc>
          <w:tcPr>
            <w:tcW w:type="dxa" w:w="1714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C: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2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13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780" w:hRule="atLeast"/>
        </w:trPr>
        <w:tc>
          <w:tcPr>
            <w:tcW w:type="dxa" w:w="1714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D: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2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13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780" w:hRule="atLeast"/>
        </w:trPr>
        <w:tc>
          <w:tcPr>
            <w:tcW w:type="dxa" w:w="1714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E: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83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210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213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0" w:before="10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Column key: Freq. = Frequency · Rules = Rule clarity · Integ. = Integration feasibility · Data = Data quality · Owner = Owner readiness · Risk = Risk exposure. Screening label: Pilot candidate, Prepare first, or Redesign / defer.</w:t>
      </w:r>
    </w:p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05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Baseline and post-pilot measurement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125"/>
        <w:gridCol w:w="1714"/>
        <w:gridCol w:w="1714"/>
        <w:gridCol w:w="3527"/>
      </w:tblGrid>
      <w:tr>
        <w:trPr>
          <w:cantSplit/>
          <w:tblHeader/>
        </w:trPr>
        <w:tc>
          <w:tcPr>
            <w:tcW w:type="dxa" w:w="312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Measure</w:t>
            </w:r>
          </w:p>
        </w:tc>
        <w:tc>
          <w:tcPr>
            <w:tcW w:type="dxa" w:w="171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Before</w:t>
            </w:r>
          </w:p>
        </w:tc>
        <w:tc>
          <w:tcPr>
            <w:tcW w:type="dxa" w:w="171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After pilot</w:t>
            </w:r>
          </w:p>
        </w:tc>
        <w:tc>
          <w:tcPr>
            <w:tcW w:type="dxa" w:w="352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Interpretation</w:t>
            </w:r>
          </w:p>
        </w:tc>
      </w:tr>
      <w:tr>
        <w:trPr>
          <w:cantSplit/>
          <w:trHeight w:val="540" w:hRule="atLeast"/>
        </w:trPr>
        <w:tc>
          <w:tcPr>
            <w:tcW w:type="dxa" w:w="3125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Median turnaround time</w:t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40" w:hRule="atLeast"/>
        </w:trPr>
        <w:tc>
          <w:tcPr>
            <w:tcW w:type="dxa" w:w="3125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Manual touches per case</w:t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40" w:hRule="atLeast"/>
        </w:trPr>
        <w:tc>
          <w:tcPr>
            <w:tcW w:type="dxa" w:w="3125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Exception / rework rate</w:t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40" w:hRule="atLeast"/>
        </w:trPr>
        <w:tc>
          <w:tcPr>
            <w:tcW w:type="dxa" w:w="3125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On-time closure rate</w:t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71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52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40" w:before="24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06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Pilot guardrails</w:t>
      </w:r>
    </w:p>
    <w:tbl>
      <w:tblPr>
        <w:tblW w:type="dxa" w:w="10080"/>
        <w:jc w:val="left"/>
        <w:tblBorders>
          <w:top w:val="single" w:color="E2E6EC" w:sz="4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42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>  Choose a clearly bounded workflow with one accountable owner.</w:t>
            </w:r>
          </w:p>
        </w:tc>
      </w:tr>
      <w:tr>
        <w:trPr>
          <w:cantSplit/>
          <w:trHeight w:val="42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>  Document permissions and minimize access to confidential information.</w:t>
            </w:r>
          </w:p>
        </w:tc>
      </w:tr>
      <w:tr>
        <w:trPr>
          <w:cantSplit/>
          <w:trHeight w:val="42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>  Keep human approval where required; test missing information and service failures.</w:t>
            </w:r>
          </w:p>
        </w:tc>
      </w:tr>
      <w:tr>
        <w:trPr>
          <w:cantSplit/>
          <w:trHeight w:val="42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>  Define rollback, support, and change-management responsibilities.</w:t>
            </w:r>
          </w:p>
        </w:tc>
      </w:tr>
      <w:tr>
        <w:trPr>
          <w:cantSplit/>
          <w:trHeight w:val="42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>  Record actual outcomes; do not equate hours handled with guaranteed staffing savings.</w:t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40" w:before="24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07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Next decision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2400"/>
        <w:gridCol w:w="160"/>
        <w:gridCol w:w="2400"/>
        <w:gridCol w:w="160"/>
        <w:gridCol w:w="2400"/>
        <w:gridCol w:w="160"/>
        <w:gridCol w:w="2400"/>
      </w:tblGrid>
      <w:tr>
        <w:trPr>
          <w:cantSplit/>
        </w:trPr>
        <w:tc>
          <w:tcPr>
            <w:tcW w:type="dxa" w:w="240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Map process first</w:t>
            </w:r>
          </w:p>
        </w:tc>
        <w:tc>
          <w:tcPr>
            <w:tcW w:type="dxa" w:w="160"/>
            <w:tcMar>
              <w:top w:type="dxa" w:w="60"/>
              <w:left w:type="dxa" w:w="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240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Improve without automation</w:t>
            </w:r>
          </w:p>
        </w:tc>
        <w:tc>
          <w:tcPr>
            <w:tcW w:type="dxa" w:w="160"/>
            <w:tcMar>
              <w:top w:type="dxa" w:w="60"/>
              <w:left w:type="dxa" w:w="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240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Small pilot</w:t>
            </w:r>
          </w:p>
        </w:tc>
        <w:tc>
          <w:tcPr>
            <w:tcW w:type="dxa" w:w="160"/>
            <w:tcMar>
              <w:top w:type="dxa" w:w="60"/>
              <w:left w:type="dxa" w:w="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240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Defer</w:t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324"/>
        <w:gridCol w:w="400"/>
        <w:gridCol w:w="4356"/>
      </w:tblGrid>
      <w:tr>
        <w:trPr>
          <w:cantSplit/>
        </w:trPr>
        <w:tc>
          <w:tcPr>
            <w:tcW w:type="dxa" w:w="5324"/>
            <w:tcMar>
              <w:top w:type="dxa" w:w="60"/>
              <w:left w:type="dxa" w:w="0"/>
              <w:bottom w:type="dxa" w:w="60"/>
              <w:right w:type="dxa" w:w="140"/>
            </w:tcMar>
            <w:vAlign w:val="center"/>
          </w:tcPr>
          <w:p>
            <w:pPr>
              <w:keepNext/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OWNER</w:t>
            </w:r>
          </w:p>
        </w:tc>
        <w:tc>
          <w:tcPr>
            <w:tcW w:type="dxa" w:w="400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356"/>
            <w:tcMar>
              <w:top w:type="dxa" w:w="60"/>
              <w:left w:type="dxa" w:w="0"/>
              <w:bottom w:type="dxa" w:w="60"/>
              <w:right w:type="dxa" w:w="140"/>
            </w:tcMar>
            <w:vAlign w:val="center"/>
          </w:tcPr>
          <w:p>
            <w:pPr>
              <w:keepNext/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REASSESSMENT DATE</w:t>
            </w:r>
          </w:p>
        </w:tc>
      </w:tr>
      <w:tr>
        <w:trPr>
          <w:cantSplit/>
        </w:trPr>
        <w:tc>
          <w:tcPr>
            <w:tcW w:type="dxa" w:w="5324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tbl>
            <w:tblPr>
              <w:tblW w:type="dxa" w:w="5324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5324"/>
            </w:tblGrid>
            <w:tr>
              <w:trPr>
                <w:cantSplit/>
                <w:trHeight w:val="340" w:hRule="atLeast"/>
              </w:trPr>
              <w:tc>
                <w:tcPr>
                  <w:tcW w:type="dxa" w:w="5324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  <w:tc>
          <w:tcPr>
            <w:tcW w:type="dxa" w:w="400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356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tbl>
            <w:tblPr>
              <w:tblW w:type="dxa" w:w="4356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4356"/>
            </w:tblGrid>
            <w:tr>
              <w:trPr>
                <w:cantSplit/>
                <w:trHeight w:val="340" w:hRule="atLeast"/>
              </w:trPr>
              <w:tc>
                <w:tcPr>
                  <w:tcW w:type="dxa" w:w="4356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pStyle w:val="Heading2"/>
        <w:keepNext/>
        <w:keepLines/>
        <w:pBdr>
          <w:top w:val="single" w:color="E2E6EC" w:sz="4" w:space="10"/>
        </w:pBdr>
        <w:spacing w:after="80" w:before="120" w:line="264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28"/>
          <w:szCs w:val="28"/>
        </w:rPr>
        <w:t xml:space="preserve">Research basis</w:t>
      </w:r>
    </w:p>
    <w:p>
      <w:pPr>
        <w:keepNext/>
        <w:keepLines/>
        <w:spacing w:after="0" w:before="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111C2E"/>
          <w:sz w:val="16"/>
          <w:szCs w:val="16"/>
        </w:rPr>
        <w:t xml:space="preserve">Microsoft Power Automate process-mining guidance</w:t>
      </w:r>
    </w:p>
    <w:p>
      <w:pPr>
        <w:keepLines/>
        <w:spacing w:after="40" w:before="0" w:line="264" w:lineRule="auto"/>
        <w:ind w:left="280"/>
      </w:pPr>
      <w:hyperlink w:history="1" r:id="rIdmvo-trpr-oq6tgskdzfmo">
        <w:r>
          <w:rPr>
            <w:rFonts w:ascii="Inter" w:cs="Inter" w:eastAsia="Inter" w:hAnsi="Inter"/>
            <w:b w:val="false"/>
            <w:bCs w:val="false"/>
            <w:i w:val="false"/>
            <w:iCs w:val="false"/>
            <w:caps w:val="false"/>
            <w:color w:val="85651C"/>
            <w:sz w:val="16"/>
            <w:szCs w:val="16"/>
          </w:rPr>
          <w:t xml:space="preserve">https://learn.microsoft.com/en-us/power-automate/process-mining-overview</w:t>
        </w:r>
      </w:hyperlink>
    </w:p>
    <w:p>
      <w:pPr>
        <w:keepNext/>
        <w:keepLines/>
        <w:spacing w:after="0" w:before="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111C2E"/>
          <w:sz w:val="16"/>
          <w:szCs w:val="16"/>
        </w:rPr>
        <w:t xml:space="preserve">NIST AI RMF Playbook</w:t>
      </w:r>
    </w:p>
    <w:p>
      <w:pPr>
        <w:keepLines/>
        <w:spacing w:after="40" w:before="0" w:line="264" w:lineRule="auto"/>
        <w:ind w:left="280"/>
      </w:pPr>
      <w:hyperlink w:history="1" r:id="rIdn8ycoc7k5orntqsgt6sdg">
        <w:r>
          <w:rPr>
            <w:rFonts w:ascii="Inter" w:cs="Inter" w:eastAsia="Inter" w:hAnsi="Inter"/>
            <w:b w:val="false"/>
            <w:bCs w:val="false"/>
            <w:i w:val="false"/>
            <w:iCs w:val="false"/>
            <w:caps w:val="false"/>
            <w:color w:val="85651C"/>
            <w:sz w:val="16"/>
            <w:szCs w:val="16"/>
          </w:rPr>
          <w:t xml:space="preserve">https://www.nist.gov/itl/ai-risk-management-framework/nist-ai-rmf-playbook</w:t>
        </w:r>
      </w:hyperlink>
    </w:p>
    <w:sectPr>
      <w:headerReference w:type="default" r:id="rId6"/>
      <w:headerReference w:type="first" r:id="rId7"/>
      <w:footerReference w:type="default" r:id="rId8"/>
      <w:footerReference w:type="first" r:id="rId9"/>
      <w:pgSz w:w="12240" w:h="15840" w:orient="portrait"/>
      <w:pgMar w:top="1150" w:right="1080" w:bottom="900" w:left="1080" w:header="500" w:footer="430" w:gutter="0"/>
      <w:pgNumTyp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morant Garamond SemiBold">
    <w:charset w:val="00"/>
    <w:family w:val="auto"/>
    <w:pitch w:val="variable"/>
    <w:sig w:usb0="E0002AFF" w:usb1="C000247B" w:usb2="00000009" w:usb3="00000000" w:csb0="000001FF" w:csb1="00000000"/>
    <w:embedRegular r:id="rId1" w:fontKey="{2DDC5056-8769-0102-E665-E5B10D1729EF}"/>
  </w:font>
  <w:font w:name="Inter">
    <w:charset w:val="00"/>
    <w:family w:val="auto"/>
    <w:pitch w:val="variable"/>
    <w:sig w:usb0="E0002AFF" w:usb1="C000247B" w:usb2="00000009" w:usb3="00000000" w:csb0="000001FF" w:csb1="00000000"/>
    <w:embedRegular r:id="rId2" w:fontKey="{25AA7931-0B5C-8108-F041-7E53336D5AB9}"/>
  </w:font>
  <w:font w:name="Inter SemiBold">
    <w:charset w:val="00"/>
    <w:family w:val="auto"/>
    <w:pitch w:val="variable"/>
    <w:sig w:usb0="E0002AFF" w:usb1="C000247B" w:usb2="00000009" w:usb3="00000000" w:csb0="000001FF" w:csb1="00000000"/>
    <w:embedRegular r:id="rId3" w:fontKey="{03133E08-4391-1716-4C0E-9BC1B53A19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CCOFooter"/>
      <w:keepLines/>
      <w:pBdr>
        <w:top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  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·  Version 2.1  ·  October 2026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16"/>
        <w:szCs w:val="16"/>
      </w:rPr>
      <w:t xml:space="preserve">	</w:t>
    </w:r>
    <w:hyperlink w:history="1" r:id="rIdkjupbhm38bmpl2dxfa00q"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clientcareoperations.com</w:t>
      </w:r>
    </w:hyperlink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 ·  Page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of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CCOFooter"/>
      <w:keepLines/>
      <w:pBdr>
        <w:top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  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·  Version 2.1  ·  October 2026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16"/>
        <w:szCs w:val="16"/>
      </w:rPr>
      <w:t xml:space="preserve">	</w:t>
    </w:r>
    <w:hyperlink w:history="1" r:id="rIdhiirvgikwo-50i2_-uwgs"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clientcareoperations.com</w:t>
      </w:r>
    </w:hyperlink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 ·  Page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of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keepLines/>
      <w:pBdr>
        <w:bottom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pacing w:val="24"/>
        <w:sz w:val="15"/>
        <w:szCs w:val="15"/>
      </w:rPr>
      <w:t xml:space="preserve">	ASSESSMENT 02 · AUTOMATION OPPORTUNITY MATRIX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keepLines/>
      <w:spacing w:after="0" w:before="0" w:line="264" w:lineRule="auto"/>
    </w:pP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4"/>
        <w:szCs w:val="4"/>
      </w:rPr>
      <w:t xml:space="preserv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mbedTrueTypeFonts/>
  <w:evenAndOddHeaders w:val="false"/>
  <w:updateField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color w:val="3A4556"/>
        <w:sz w:val="19"/>
        <w:szCs w:val="19"/>
        <w:lang w:val="en-CA"/>
      </w:rPr>
    </w:rPrDefault>
    <w:pPrDefault>
      <w:pPr>
        <w:spacing w:line="264" w:lineRule="auto"/>
      </w:pPr>
    </w:pPrDefault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rFonts w:ascii="Cormorant Garamond SemiBold" w:cs="Cormorant Garamond SemiBold" w:eastAsia="Cormorant Garamond SemiBold" w:hAnsi="Cormorant Garamond SemiBold"/>
      <w:color w:val="FFFFFF"/>
      <w:sz w:val="76"/>
      <w:szCs w:val="76"/>
    </w:rPr>
  </w:style>
  <w:style w:type="paragraph" w:styleId="Heading1">
    <w:name w:val="Heading 1"/>
    <w:basedOn w:val="Normal"/>
    <w:next w:val="Normal"/>
    <w:qFormat/>
    <w:pPr>
      <w:keepNext/>
      <w:spacing w:after="140" w:before="0"/>
    </w:pPr>
    <w:rPr>
      <w:rFonts w:ascii="Cormorant Garamond SemiBold" w:cs="Cormorant Garamond SemiBold" w:eastAsia="Cormorant Garamond SemiBold" w:hAnsi="Cormorant Garamond SemiBold"/>
      <w:b w:val="false"/>
      <w:bCs w:val="false"/>
      <w:color w:val="111C2E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spacing w:after="40" w:before="0"/>
    </w:pPr>
    <w:rPr>
      <w:rFonts w:ascii="Cormorant Garamond SemiBold" w:cs="Cormorant Garamond SemiBold" w:eastAsia="Cormorant Garamond SemiBold" w:hAnsi="Cormorant Garamond SemiBold"/>
      <w:b w:val="false"/>
      <w:bCs w:val="false"/>
      <w:color w:val="111C2E"/>
      <w:sz w:val="30"/>
      <w:szCs w:val="30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85651C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COFooter">
    <w:name w:val="CCO Footer"/>
    <w:basedOn w:val="Normal"/>
    <w:rPr>
      <w:rFonts w:ascii="Inter" w:cs="Inter" w:eastAsia="Inter" w:hAnsi="Inter"/>
      <w:color w:val="5E6878"/>
      <w:sz w:val="16"/>
      <w:szCs w:val="16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theme" Target="theme/theme1.xml"/><Relationship Id="rIdmvo-trpr-oq6tgskdzfmo" Type="http://schemas.openxmlformats.org/officeDocument/2006/relationships/hyperlink" Target="https://learn.microsoft.com/en-us/power-automate/process-mining-overview" TargetMode="External"/><Relationship Id="rIdn8ycoc7k5orntqsgt6sdg" Type="http://schemas.openxmlformats.org/officeDocument/2006/relationships/hyperlink" Target="https://www.nist.gov/itl/ai-risk-management-framework/nist-ai-rmf-playbook" TargetMode="External"/><Relationship Id="rId11" Type="http://schemas.openxmlformats.org/officeDocument/2006/relationships/image" Target="media/44dea6c35b23be01d188cd9f613011ad7b5d59ec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/Relationships>
</file>

<file path=word/_rels/footer1.xml.rels><?xml version="1.0" encoding="UTF-8"?><Relationships xmlns="http://schemas.openxmlformats.org/package/2006/relationships"><Relationship Id="rIdkjupbhm38bmpl2dxfa00q" Type="http://schemas.openxmlformats.org/officeDocument/2006/relationships/hyperlink" Target="https://www.clientcareoperations.com" TargetMode="External"/></Relationships>
</file>

<file path=word/_rels/footer2.xml.rels><?xml version="1.0" encoding="UTF-8"?><Relationships xmlns="http://schemas.openxmlformats.org/package/2006/relationships"><Relationship Id="rIdhiirvgikwo-50i2_-uwgs" Type="http://schemas.openxmlformats.org/officeDocument/2006/relationships/hyperlink" Target="https://www.clientcareoperations.com" TargetMode="External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Automation Opportunity Matrix — Client Care Operations</dc:title>
  <dc:subject>Identify, compare and prioritize processes without mistaking a high score for permission to automate.</dc:subject>
  <dc:creator>Client Care Operations</dc:creator>
  <cp:keywords>business process automation, opportunity matrix, prioritization, pilot measurement, Client Care Operations</cp:keywords>
  <dc:description>Automation Opportunity Matrix, Version 2.1 (October 2026). Prepared as an educational planning tool. It is not a certification, a legal opinion, or an assessment of a particular organization.</dc:description>
  <cp:lastModifiedBy>Client Care Operations</cp:lastModifiedBy>
  <cp:revision>2</cp:revision>
  <dcterms:created xsi:type="dcterms:W3CDTF">2026-10-20T17:16:36.650Z</dcterms:created>
  <dcterms:modified xsi:type="dcterms:W3CDTF">2026-10-20T17:16:36.650Z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